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C85DB2" w:rsidTr="00197DA1">
        <w:trPr>
          <w:trHeight w:val="796"/>
        </w:trPr>
        <w:tc>
          <w:tcPr>
            <w:tcW w:w="811" w:type="dxa"/>
          </w:tcPr>
          <w:p w:rsidR="00C85DB2" w:rsidRDefault="00C85DB2" w:rsidP="00C85DB2">
            <w:pPr>
              <w:pStyle w:val="TableParagraph"/>
              <w:spacing w:before="2"/>
              <w:ind w:left="107"/>
              <w:jc w:val="both"/>
              <w:rPr>
                <w:b/>
                <w:sz w:val="24"/>
              </w:rPr>
            </w:pPr>
            <w:r>
              <w:rPr>
                <w:b/>
                <w:sz w:val="24"/>
              </w:rPr>
              <w:t>1.</w:t>
            </w:r>
          </w:p>
        </w:tc>
        <w:tc>
          <w:tcPr>
            <w:tcW w:w="1319" w:type="dxa"/>
          </w:tcPr>
          <w:p w:rsidR="00C85DB2" w:rsidRPr="00F90EBB" w:rsidRDefault="00C85DB2" w:rsidP="00C85DB2">
            <w:pPr>
              <w:tabs>
                <w:tab w:val="left" w:pos="1037"/>
              </w:tabs>
            </w:pPr>
            <w:r>
              <w:t>Clause-9.4, Section-IV, GCC, Vol-III</w:t>
            </w:r>
          </w:p>
        </w:tc>
        <w:tc>
          <w:tcPr>
            <w:tcW w:w="5850" w:type="dxa"/>
          </w:tcPr>
          <w:p w:rsidR="00C85DB2" w:rsidRDefault="00C85DB2" w:rsidP="00C85DB2">
            <w:pPr>
              <w:tabs>
                <w:tab w:val="left" w:pos="0"/>
              </w:tabs>
              <w:jc w:val="both"/>
              <w:rPr>
                <w:rFonts w:cs="Arial"/>
                <w:spacing w:val="-2"/>
              </w:rPr>
            </w:pPr>
            <w:r w:rsidRPr="004269E4">
              <w:rPr>
                <w:rFonts w:cs="Arial"/>
                <w:spacing w:val="-2"/>
              </w:rPr>
              <w:t>Issuing Banks</w:t>
            </w:r>
          </w:p>
          <w:p w:rsidR="00C85DB2" w:rsidRDefault="00C85DB2" w:rsidP="00C85DB2">
            <w:pPr>
              <w:tabs>
                <w:tab w:val="left" w:pos="0"/>
              </w:tabs>
              <w:jc w:val="both"/>
              <w:rPr>
                <w:rFonts w:cs="Arial"/>
                <w:spacing w:val="-2"/>
              </w:rPr>
            </w:pPr>
            <w:bookmarkStart w:id="0" w:name="_GoBack"/>
            <w:bookmarkEnd w:id="0"/>
          </w:p>
          <w:p w:rsidR="00C85DB2" w:rsidRDefault="00C85DB2" w:rsidP="00C85DB2">
            <w:pPr>
              <w:tabs>
                <w:tab w:val="left" w:pos="0"/>
              </w:tabs>
              <w:jc w:val="both"/>
              <w:rPr>
                <w:rFonts w:cs="Arial"/>
                <w:spacing w:val="-2"/>
              </w:rPr>
            </w:pPr>
            <w:r w:rsidRPr="004269E4">
              <w:rPr>
                <w:rFonts w:cs="Arial"/>
                <w:spacing w:val="-2"/>
              </w:rPr>
              <w:t>The Bank Guarantee for Advance Payment Security and Performance Security are to be provided by the Contractor, which should be issued either:</w:t>
            </w:r>
          </w:p>
          <w:p w:rsidR="00C85DB2" w:rsidRDefault="00C85DB2" w:rsidP="00C85DB2">
            <w:pPr>
              <w:tabs>
                <w:tab w:val="left" w:pos="0"/>
              </w:tabs>
              <w:jc w:val="both"/>
              <w:rPr>
                <w:rFonts w:cs="Arial"/>
                <w:spacing w:val="-2"/>
              </w:rPr>
            </w:pPr>
          </w:p>
          <w:p w:rsidR="00C85DB2" w:rsidRDefault="00C85DB2" w:rsidP="00C85DB2">
            <w:pPr>
              <w:widowControl/>
              <w:numPr>
                <w:ilvl w:val="0"/>
                <w:numId w:val="21"/>
              </w:numPr>
              <w:tabs>
                <w:tab w:val="left" w:pos="0"/>
              </w:tabs>
              <w:autoSpaceDE/>
              <w:autoSpaceDN/>
              <w:jc w:val="both"/>
              <w:rPr>
                <w:rFonts w:cs="Arial"/>
                <w:spacing w:val="-2"/>
              </w:rPr>
            </w:pPr>
            <w:r w:rsidRPr="004269E4">
              <w:rPr>
                <w:rFonts w:cs="Arial"/>
                <w:spacing w:val="-2"/>
              </w:rPr>
              <w:t>by a Public Sector Bank located in India, or</w:t>
            </w:r>
          </w:p>
          <w:p w:rsidR="00C85DB2" w:rsidRDefault="00C85DB2" w:rsidP="00C85DB2">
            <w:pPr>
              <w:widowControl/>
              <w:numPr>
                <w:ilvl w:val="0"/>
                <w:numId w:val="21"/>
              </w:numPr>
              <w:tabs>
                <w:tab w:val="left" w:pos="0"/>
              </w:tabs>
              <w:autoSpaceDE/>
              <w:autoSpaceDN/>
              <w:jc w:val="both"/>
              <w:rPr>
                <w:rFonts w:cs="Arial"/>
                <w:spacing w:val="-2"/>
              </w:rPr>
            </w:pPr>
            <w:r w:rsidRPr="004269E4">
              <w:rPr>
                <w:rFonts w:cs="Arial"/>
                <w:spacing w:val="-2"/>
              </w:rPr>
              <w:t>a scheduled Indian Bank having paid up capital (net of any accumulated losses) of Rs. 1,000 Million or above (the latest annual report of the Bank should support compliance of capital adequacy ratio requirement) as per attached list only [</w:t>
            </w:r>
            <w:r w:rsidRPr="004269E4">
              <w:rPr>
                <w:rFonts w:cs="Arial"/>
                <w:b/>
                <w:bCs/>
                <w:spacing w:val="-2"/>
              </w:rPr>
              <w:t>List is placed at Annexure-I to Special Conditions of Contract (SCC)</w:t>
            </w:r>
            <w:r w:rsidRPr="004269E4">
              <w:rPr>
                <w:rFonts w:cs="Arial"/>
                <w:spacing w:val="-2"/>
              </w:rPr>
              <w:t>], or</w:t>
            </w:r>
          </w:p>
          <w:p w:rsidR="00C85DB2" w:rsidRDefault="00C85DB2" w:rsidP="00C85DB2">
            <w:pPr>
              <w:widowControl/>
              <w:numPr>
                <w:ilvl w:val="0"/>
                <w:numId w:val="21"/>
              </w:numPr>
              <w:tabs>
                <w:tab w:val="left" w:pos="0"/>
              </w:tabs>
              <w:autoSpaceDE/>
              <w:autoSpaceDN/>
              <w:jc w:val="both"/>
              <w:rPr>
                <w:rFonts w:cs="Arial"/>
                <w:spacing w:val="-2"/>
              </w:rPr>
            </w:pPr>
            <w:r w:rsidRPr="004269E4">
              <w:rPr>
                <w:rFonts w:cs="Arial"/>
                <w:spacing w:val="-2"/>
              </w:rPr>
              <w:t xml:space="preserve">by a foreign bank or a subsidiary of a foreign bank, acceptable to the Employer, with overall international corporate rating or rating of </w:t>
            </w:r>
            <w:proofErr w:type="gramStart"/>
            <w:r w:rsidRPr="004269E4">
              <w:rPr>
                <w:rFonts w:cs="Arial"/>
                <w:spacing w:val="-2"/>
              </w:rPr>
              <w:t>long term</w:t>
            </w:r>
            <w:proofErr w:type="gramEnd"/>
            <w:r w:rsidRPr="004269E4">
              <w:rPr>
                <w:rFonts w:cs="Arial"/>
                <w:spacing w:val="-2"/>
              </w:rPr>
              <w:t xml:space="preserve"> debt not less than A- (A minus) or equivalent by a reputed rating agency. Further, the Bank Guarantee should be confirmed by either (</w:t>
            </w:r>
            <w:proofErr w:type="spellStart"/>
            <w:r w:rsidRPr="004269E4">
              <w:rPr>
                <w:rFonts w:cs="Arial"/>
                <w:spacing w:val="-2"/>
              </w:rPr>
              <w:t>i</w:t>
            </w:r>
            <w:proofErr w:type="spellEnd"/>
            <w:r w:rsidRPr="004269E4">
              <w:rPr>
                <w:rFonts w:cs="Arial"/>
                <w:spacing w:val="-2"/>
              </w:rPr>
              <w:t xml:space="preserve">) its corresponding bank located in India; or (ii) a Public Sector Bank located in India; or (iii) a scheduled commercial private bank located in India as per the attached list only </w:t>
            </w:r>
            <w:r w:rsidRPr="004269E4">
              <w:rPr>
                <w:rFonts w:cs="Arial"/>
                <w:b/>
                <w:bCs/>
                <w:spacing w:val="-2"/>
              </w:rPr>
              <w:t>[List is placed at Annexure-I to Special Conditions of Contract (SCC)</w:t>
            </w:r>
            <w:r w:rsidRPr="004269E4">
              <w:rPr>
                <w:rFonts w:cs="Arial"/>
                <w:spacing w:val="-2"/>
              </w:rPr>
              <w:t>]</w:t>
            </w:r>
          </w:p>
          <w:p w:rsidR="00C85DB2" w:rsidRPr="00AD4BFD" w:rsidRDefault="00C85DB2" w:rsidP="00C85DB2">
            <w:pPr>
              <w:tabs>
                <w:tab w:val="left" w:pos="0"/>
              </w:tabs>
              <w:ind w:left="1" w:hanging="1"/>
              <w:jc w:val="both"/>
              <w:rPr>
                <w:b/>
                <w:bCs/>
                <w:highlight w:val="yellow"/>
                <w:u w:val="single"/>
              </w:rPr>
            </w:pPr>
          </w:p>
        </w:tc>
        <w:tc>
          <w:tcPr>
            <w:tcW w:w="6570" w:type="dxa"/>
          </w:tcPr>
          <w:p w:rsidR="00C85DB2" w:rsidRDefault="00C85DB2" w:rsidP="00C85DB2">
            <w:pPr>
              <w:tabs>
                <w:tab w:val="left" w:pos="0"/>
              </w:tabs>
              <w:jc w:val="both"/>
              <w:rPr>
                <w:rFonts w:cs="Arial"/>
                <w:spacing w:val="-2"/>
              </w:rPr>
            </w:pPr>
            <w:r w:rsidRPr="004269E4">
              <w:rPr>
                <w:rFonts w:cs="Arial"/>
                <w:spacing w:val="-2"/>
              </w:rPr>
              <w:t>Issuing Banks</w:t>
            </w:r>
          </w:p>
          <w:p w:rsidR="00C85DB2" w:rsidRDefault="00C85DB2" w:rsidP="00C85DB2">
            <w:pPr>
              <w:tabs>
                <w:tab w:val="left" w:pos="0"/>
              </w:tabs>
              <w:jc w:val="both"/>
              <w:rPr>
                <w:rFonts w:cs="Arial"/>
                <w:spacing w:val="-2"/>
              </w:rPr>
            </w:pPr>
          </w:p>
          <w:p w:rsidR="00C85DB2" w:rsidRDefault="00C85DB2" w:rsidP="00C85DB2">
            <w:pPr>
              <w:tabs>
                <w:tab w:val="left" w:pos="0"/>
              </w:tabs>
              <w:jc w:val="both"/>
              <w:rPr>
                <w:rFonts w:cs="Arial"/>
                <w:spacing w:val="-2"/>
              </w:rPr>
            </w:pPr>
            <w:r w:rsidRPr="004269E4">
              <w:rPr>
                <w:rFonts w:cs="Arial"/>
                <w:spacing w:val="-2"/>
              </w:rPr>
              <w:t>The Bank Guarantee for Advance Payment Security and Performance Security are to be provided by the Contractor, which should be issued either:</w:t>
            </w:r>
          </w:p>
          <w:p w:rsidR="00C85DB2" w:rsidRDefault="00C85DB2" w:rsidP="00C85DB2">
            <w:pPr>
              <w:tabs>
                <w:tab w:val="left" w:pos="0"/>
              </w:tabs>
              <w:jc w:val="both"/>
              <w:rPr>
                <w:rFonts w:cs="Arial"/>
                <w:spacing w:val="-2"/>
              </w:rPr>
            </w:pPr>
          </w:p>
          <w:p w:rsidR="00C85DB2" w:rsidRDefault="00C85DB2" w:rsidP="00C85DB2">
            <w:pPr>
              <w:widowControl/>
              <w:numPr>
                <w:ilvl w:val="0"/>
                <w:numId w:val="22"/>
              </w:numPr>
              <w:tabs>
                <w:tab w:val="left" w:pos="0"/>
              </w:tabs>
              <w:autoSpaceDE/>
              <w:autoSpaceDN/>
              <w:jc w:val="both"/>
              <w:rPr>
                <w:rFonts w:cs="Arial"/>
                <w:spacing w:val="-2"/>
              </w:rPr>
            </w:pPr>
            <w:r w:rsidRPr="004269E4">
              <w:rPr>
                <w:rFonts w:cs="Arial"/>
                <w:spacing w:val="-2"/>
              </w:rPr>
              <w:t>by a Public Sector Bank located in India, or</w:t>
            </w:r>
          </w:p>
          <w:p w:rsidR="00C85DB2" w:rsidRDefault="00C85DB2" w:rsidP="00C85DB2">
            <w:pPr>
              <w:widowControl/>
              <w:numPr>
                <w:ilvl w:val="0"/>
                <w:numId w:val="22"/>
              </w:numPr>
              <w:tabs>
                <w:tab w:val="left" w:pos="0"/>
              </w:tabs>
              <w:autoSpaceDE/>
              <w:autoSpaceDN/>
              <w:jc w:val="both"/>
              <w:rPr>
                <w:rFonts w:cs="Arial"/>
                <w:spacing w:val="-2"/>
              </w:rPr>
            </w:pPr>
            <w:r w:rsidRPr="004269E4">
              <w:rPr>
                <w:rFonts w:cs="Arial"/>
                <w:spacing w:val="-2"/>
              </w:rPr>
              <w:t>a scheduled Indian Bank having paid up capital (net of any accumulated losses) of Rs. 1,000 Million or above (the latest annual report of the Bank should support compliance of capital adequacy ratio requirement) or</w:t>
            </w:r>
          </w:p>
          <w:p w:rsidR="00C85DB2" w:rsidRDefault="00C85DB2" w:rsidP="00C85DB2">
            <w:pPr>
              <w:widowControl/>
              <w:numPr>
                <w:ilvl w:val="0"/>
                <w:numId w:val="22"/>
              </w:numPr>
              <w:tabs>
                <w:tab w:val="left" w:pos="0"/>
              </w:tabs>
              <w:autoSpaceDE/>
              <w:autoSpaceDN/>
              <w:jc w:val="both"/>
              <w:rPr>
                <w:rFonts w:cs="Arial"/>
                <w:spacing w:val="-2"/>
              </w:rPr>
            </w:pPr>
            <w:r w:rsidRPr="004269E4">
              <w:rPr>
                <w:rFonts w:cs="Arial"/>
                <w:spacing w:val="-2"/>
              </w:rPr>
              <w:t xml:space="preserve">by a foreign bank or a subsidiary of a foreign bank, acceptable to the Employer, with overall international corporate rating or rating of </w:t>
            </w:r>
            <w:proofErr w:type="gramStart"/>
            <w:r w:rsidRPr="004269E4">
              <w:rPr>
                <w:rFonts w:cs="Arial"/>
                <w:spacing w:val="-2"/>
              </w:rPr>
              <w:t>long term</w:t>
            </w:r>
            <w:proofErr w:type="gramEnd"/>
            <w:r w:rsidRPr="004269E4">
              <w:rPr>
                <w:rFonts w:cs="Arial"/>
                <w:spacing w:val="-2"/>
              </w:rPr>
              <w:t xml:space="preserve"> debt not less than A- (A minus) or equivalent by a reputed rating agency. Further, the Bank Guarantee should be confirmed by either (</w:t>
            </w:r>
            <w:proofErr w:type="spellStart"/>
            <w:r w:rsidRPr="004269E4">
              <w:rPr>
                <w:rFonts w:cs="Arial"/>
                <w:spacing w:val="-2"/>
              </w:rPr>
              <w:t>i</w:t>
            </w:r>
            <w:proofErr w:type="spellEnd"/>
            <w:r w:rsidRPr="004269E4">
              <w:rPr>
                <w:rFonts w:cs="Arial"/>
                <w:spacing w:val="-2"/>
              </w:rPr>
              <w:t xml:space="preserve">) its corresponding bank located in India; or (ii) a Public Sector Bank located in India; or (iii) a scheduled commercial private bank located in India </w:t>
            </w:r>
            <w:r w:rsidRPr="004269E4">
              <w:rPr>
                <w:rFonts w:cs="Arial"/>
                <w:b/>
                <w:bCs/>
                <w:i/>
                <w:iCs/>
                <w:spacing w:val="-2"/>
              </w:rPr>
              <w:t>as per para (b) above</w:t>
            </w:r>
            <w:r>
              <w:rPr>
                <w:rFonts w:cs="Arial"/>
                <w:spacing w:val="-2"/>
              </w:rPr>
              <w:t>.</w:t>
            </w:r>
          </w:p>
          <w:p w:rsidR="00C85DB2" w:rsidRPr="00AD4BFD" w:rsidRDefault="00C85DB2" w:rsidP="00C85DB2">
            <w:pPr>
              <w:tabs>
                <w:tab w:val="left" w:pos="0"/>
              </w:tabs>
              <w:ind w:left="1" w:hanging="1"/>
              <w:jc w:val="both"/>
              <w:rPr>
                <w:b/>
                <w:bCs/>
                <w:highlight w:val="yellow"/>
                <w:u w:val="single"/>
              </w:rPr>
            </w:pPr>
          </w:p>
        </w:tc>
      </w:tr>
      <w:tr w:rsidR="00C85DB2" w:rsidTr="002B2238">
        <w:trPr>
          <w:trHeight w:val="796"/>
        </w:trPr>
        <w:tc>
          <w:tcPr>
            <w:tcW w:w="811" w:type="dxa"/>
          </w:tcPr>
          <w:p w:rsidR="00C85DB2" w:rsidRDefault="00C85DB2" w:rsidP="00C85DB2">
            <w:pPr>
              <w:pStyle w:val="TableParagraph"/>
              <w:spacing w:before="2"/>
              <w:ind w:left="107"/>
              <w:jc w:val="both"/>
              <w:rPr>
                <w:b/>
                <w:sz w:val="24"/>
              </w:rPr>
            </w:pPr>
            <w:r>
              <w:rPr>
                <w:b/>
                <w:sz w:val="24"/>
              </w:rPr>
              <w:t>2</w:t>
            </w:r>
          </w:p>
        </w:tc>
        <w:tc>
          <w:tcPr>
            <w:tcW w:w="1319" w:type="dxa"/>
          </w:tcPr>
          <w:p w:rsidR="00C85DB2" w:rsidRDefault="00C85DB2" w:rsidP="00C85DB2">
            <w:pPr>
              <w:ind w:right="54"/>
            </w:pPr>
            <w:r>
              <w:t>Vol-I, Bidding Documents</w:t>
            </w:r>
          </w:p>
        </w:tc>
        <w:tc>
          <w:tcPr>
            <w:tcW w:w="12420" w:type="dxa"/>
            <w:gridSpan w:val="2"/>
          </w:tcPr>
          <w:p w:rsidR="00C85DB2" w:rsidRPr="00786F7F" w:rsidRDefault="00C85DB2" w:rsidP="00C85DB2">
            <w:pPr>
              <w:pStyle w:val="Default"/>
              <w:jc w:val="both"/>
            </w:pPr>
            <w:r w:rsidRPr="00786F7F">
              <w:t>In view of the above amendment, “</w:t>
            </w:r>
            <w:r w:rsidRPr="006D756C">
              <w:t>09-Annexure-I to Section-V (SCC)</w:t>
            </w:r>
            <w:r w:rsidRPr="00786F7F">
              <w:t xml:space="preserve">” </w:t>
            </w:r>
            <w:r>
              <w:t>is stand deleted.</w:t>
            </w:r>
          </w:p>
          <w:p w:rsidR="00C85DB2" w:rsidRDefault="00C85DB2" w:rsidP="00C85DB2">
            <w:pPr>
              <w:ind w:right="54"/>
            </w:pPr>
          </w:p>
        </w:tc>
      </w:tr>
      <w:tr w:rsidR="00C85DB2" w:rsidTr="00197DA1">
        <w:trPr>
          <w:trHeight w:val="796"/>
        </w:trPr>
        <w:tc>
          <w:tcPr>
            <w:tcW w:w="811" w:type="dxa"/>
          </w:tcPr>
          <w:p w:rsidR="00C85DB2" w:rsidRDefault="00C85DB2" w:rsidP="00C85DB2">
            <w:pPr>
              <w:pStyle w:val="TableParagraph"/>
              <w:spacing w:before="2"/>
              <w:ind w:left="107"/>
              <w:jc w:val="both"/>
              <w:rPr>
                <w:b/>
                <w:sz w:val="24"/>
              </w:rPr>
            </w:pPr>
            <w:r>
              <w:rPr>
                <w:b/>
                <w:sz w:val="24"/>
              </w:rPr>
              <w:lastRenderedPageBreak/>
              <w:t>3</w:t>
            </w:r>
          </w:p>
        </w:tc>
        <w:tc>
          <w:tcPr>
            <w:tcW w:w="1319" w:type="dxa"/>
          </w:tcPr>
          <w:p w:rsidR="009B27DD" w:rsidRDefault="009B27DD" w:rsidP="009B27DD">
            <w:pPr>
              <w:tabs>
                <w:tab w:val="left" w:pos="1037"/>
              </w:tabs>
              <w:rPr>
                <w:rFonts w:eastAsia="Times New Roman" w:cs="Times New Roman"/>
                <w:b/>
                <w:bCs/>
                <w:lang w:bidi="ar-SA"/>
              </w:rPr>
            </w:pPr>
            <w:r>
              <w:t>Clause 1.6 Appendix-</w:t>
            </w:r>
            <w:proofErr w:type="gramStart"/>
            <w:r>
              <w:t>1 :</w:t>
            </w:r>
            <w:proofErr w:type="gramEnd"/>
            <w:r>
              <w:t xml:space="preserve"> </w:t>
            </w:r>
            <w:r>
              <w:rPr>
                <w:b/>
                <w:bCs/>
              </w:rPr>
              <w:t>TERMS AND PROCEDURES OF PAYMENT</w:t>
            </w:r>
          </w:p>
          <w:p w:rsidR="009B27DD" w:rsidRDefault="009B27DD" w:rsidP="00C85DB2">
            <w:pPr>
              <w:tabs>
                <w:tab w:val="left" w:pos="1037"/>
              </w:tabs>
            </w:pPr>
            <w:r>
              <w:t>, Section-VI Sample Forms and Procedures, Vol-I</w:t>
            </w:r>
          </w:p>
        </w:tc>
        <w:tc>
          <w:tcPr>
            <w:tcW w:w="5850" w:type="dxa"/>
          </w:tcPr>
          <w:p w:rsidR="009B27DD" w:rsidRDefault="009B27DD" w:rsidP="009B27DD">
            <w:pPr>
              <w:ind w:left="720" w:hanging="720"/>
              <w:jc w:val="both"/>
              <w:rPr>
                <w:rFonts w:eastAsia="Times New Roman" w:cs="Times New Roman"/>
                <w:b/>
                <w:bCs/>
                <w:lang w:bidi="ar-SA"/>
              </w:rPr>
            </w:pPr>
            <w:r>
              <w:rPr>
                <w:b/>
                <w:bCs/>
              </w:rPr>
              <w:t>Maintenance Charges during Defect Liability Period</w:t>
            </w:r>
          </w:p>
          <w:p w:rsidR="009B27DD" w:rsidRDefault="009B27DD" w:rsidP="009B27DD">
            <w:pPr>
              <w:ind w:left="720" w:hanging="720"/>
              <w:jc w:val="both"/>
            </w:pPr>
            <w:r>
              <w:tab/>
            </w:r>
          </w:p>
          <w:p w:rsidR="009B27DD" w:rsidRDefault="009B27DD" w:rsidP="00790EDE">
            <w:pPr>
              <w:ind w:left="90"/>
              <w:jc w:val="both"/>
            </w:pPr>
            <w:r>
              <w:t>Maintenance Charges during Defect Liability Period shall be paid at the end of Defect Liability Period on submission of GST invoice(s) for the Maintenance Charges and on certification by the Employer in line with provisions of Technical Specifications.</w:t>
            </w:r>
          </w:p>
          <w:p w:rsidR="00C85DB2" w:rsidRPr="004269E4" w:rsidRDefault="00C85DB2" w:rsidP="00C85DB2">
            <w:pPr>
              <w:tabs>
                <w:tab w:val="left" w:pos="0"/>
              </w:tabs>
              <w:jc w:val="both"/>
              <w:rPr>
                <w:rFonts w:cs="Arial"/>
                <w:spacing w:val="-2"/>
              </w:rPr>
            </w:pPr>
          </w:p>
        </w:tc>
        <w:tc>
          <w:tcPr>
            <w:tcW w:w="6570" w:type="dxa"/>
          </w:tcPr>
          <w:p w:rsidR="009B27DD" w:rsidRDefault="009B27DD" w:rsidP="009B27DD">
            <w:pPr>
              <w:ind w:left="720" w:hanging="720"/>
              <w:jc w:val="both"/>
              <w:rPr>
                <w:rFonts w:eastAsia="Times New Roman" w:cs="Times New Roman"/>
                <w:b/>
                <w:bCs/>
                <w:lang w:bidi="ar-SA"/>
              </w:rPr>
            </w:pPr>
            <w:r>
              <w:rPr>
                <w:b/>
                <w:bCs/>
              </w:rPr>
              <w:t>Maintenance Charges during Defect Liability Period</w:t>
            </w:r>
          </w:p>
          <w:p w:rsidR="009B27DD" w:rsidRDefault="009B27DD" w:rsidP="009B27DD">
            <w:pPr>
              <w:ind w:left="720" w:hanging="720"/>
              <w:jc w:val="both"/>
            </w:pPr>
            <w:r>
              <w:tab/>
            </w:r>
          </w:p>
          <w:p w:rsidR="009B27DD" w:rsidRDefault="009B27DD" w:rsidP="00790EDE">
            <w:pPr>
              <w:ind w:left="90"/>
              <w:jc w:val="both"/>
            </w:pPr>
            <w:r>
              <w:t xml:space="preserve">Maintenance Charges during Defect Liability Period shall be paid </w:t>
            </w:r>
            <w:r w:rsidR="00790EDE">
              <w:t xml:space="preserve">on quarterly basis </w:t>
            </w:r>
            <w:r>
              <w:t xml:space="preserve">at the end of </w:t>
            </w:r>
            <w:r w:rsidR="00790EDE">
              <w:t xml:space="preserve">each quarter of </w:t>
            </w:r>
            <w:r>
              <w:t>Defect Liability Period on submission of GST invoice(s) for the Maintenance Charges and on certification by the Employer in line with provisions of Technical Specifications.</w:t>
            </w:r>
          </w:p>
          <w:p w:rsidR="00C85DB2" w:rsidRPr="004269E4" w:rsidRDefault="00C85DB2" w:rsidP="00C85DB2">
            <w:pPr>
              <w:tabs>
                <w:tab w:val="left" w:pos="0"/>
              </w:tabs>
              <w:jc w:val="both"/>
              <w:rPr>
                <w:rFonts w:cs="Arial"/>
                <w:spacing w:val="-2"/>
              </w:rPr>
            </w:pPr>
          </w:p>
        </w:tc>
      </w:tr>
      <w:tr w:rsidR="00C85DB2" w:rsidTr="00C85DB2">
        <w:trPr>
          <w:trHeight w:val="462"/>
        </w:trPr>
        <w:tc>
          <w:tcPr>
            <w:tcW w:w="811" w:type="dxa"/>
          </w:tcPr>
          <w:p w:rsidR="00C85DB2" w:rsidRDefault="00C85DB2" w:rsidP="004A5E4D">
            <w:pPr>
              <w:pStyle w:val="TableParagraph"/>
              <w:spacing w:before="2"/>
              <w:ind w:left="107"/>
              <w:jc w:val="both"/>
              <w:rPr>
                <w:b/>
                <w:sz w:val="24"/>
              </w:rPr>
            </w:pPr>
          </w:p>
        </w:tc>
        <w:tc>
          <w:tcPr>
            <w:tcW w:w="13739" w:type="dxa"/>
            <w:gridSpan w:val="3"/>
          </w:tcPr>
          <w:p w:rsidR="00C85DB2" w:rsidRPr="004A5E4D" w:rsidRDefault="00C85DB2" w:rsidP="00C85DB2">
            <w:pPr>
              <w:ind w:left="612" w:hanging="462"/>
              <w:jc w:val="both"/>
              <w:rPr>
                <w:rFonts w:cstheme="minorHAnsi"/>
                <w:sz w:val="24"/>
                <w:szCs w:val="24"/>
              </w:rPr>
            </w:pPr>
            <w:r>
              <w:rPr>
                <w:b/>
                <w:sz w:val="24"/>
              </w:rPr>
              <w:t>Volume-II: Technical Specifications</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t>1</w:t>
            </w:r>
          </w:p>
        </w:tc>
        <w:tc>
          <w:tcPr>
            <w:tcW w:w="1319" w:type="dxa"/>
            <w:vAlign w:val="center"/>
          </w:tcPr>
          <w:p w:rsidR="00C85DB2" w:rsidRPr="00C85DB2" w:rsidRDefault="00C85DB2" w:rsidP="00C85DB2">
            <w:pPr>
              <w:rPr>
                <w:rFonts w:eastAsia="Times New Roman" w:cs="Calibri"/>
                <w:color w:val="000000"/>
                <w:sz w:val="24"/>
                <w:szCs w:val="24"/>
                <w:lang w:bidi="hi-IN"/>
              </w:rPr>
            </w:pPr>
            <w:r w:rsidRPr="00C85DB2">
              <w:rPr>
                <w:rFonts w:cs="Calibri"/>
                <w:color w:val="000000"/>
                <w:sz w:val="24"/>
                <w:szCs w:val="24"/>
              </w:rPr>
              <w:t>Vol-II, Section-6 Clause-6.4.7</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The minimum SLA to be met by the proposed solution is 99.9%. However, KPI's/SLA parameters shall be discussed with contractor during the detailed Engineering.</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The minimum SLA to be met by the proposed solution is 99.0% availability per quarter for backend location. For Front end location total downtime for a quarter shall be upto 72 hours only. However, KPI's/SLA parameters shall be discussed with contractor during the detailed Engineering.</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t>2</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Vol-II, Section-6 Clause-6.4.8</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6.4.8 Penalty Clause:</w:t>
            </w:r>
            <w:r w:rsidRPr="00C85DB2">
              <w:rPr>
                <w:rFonts w:cs="Calibri"/>
                <w:color w:val="000000"/>
                <w:sz w:val="24"/>
                <w:szCs w:val="24"/>
              </w:rPr>
              <w:br/>
              <w:t>In case the quarterly average availability for the LIMS Solution fall short of stipulated criteria of 99.9% (as per clause 6.4.7), the Contractor shall be liable to the penalty for deficit in meeting the assured availability parameters as per following:</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6.4.8 Penalty Clause:</w:t>
            </w:r>
            <w:r w:rsidRPr="00C85DB2">
              <w:rPr>
                <w:rFonts w:cs="Calibri"/>
                <w:color w:val="000000"/>
                <w:sz w:val="24"/>
                <w:szCs w:val="24"/>
              </w:rPr>
              <w:br/>
              <w:t>In case the quarterly average availability for the LIMS Solution fall short of stipulated criteria of 99.0% (as per clause 6.4.7), the Contractor shall be liable to the penalty for deficit in meeting the assured availability parameters as per following:</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t>3</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Vol-II, Section-6 Clause-6.4.8.1</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6.4.8.1 Penalty for System Availability SLA:</w:t>
            </w:r>
            <w:r w:rsidRPr="00C85DB2">
              <w:rPr>
                <w:rFonts w:cs="Calibri"/>
                <w:color w:val="000000"/>
                <w:sz w:val="24"/>
                <w:szCs w:val="24"/>
              </w:rPr>
              <w:br/>
            </w:r>
            <w:r w:rsidRPr="00C85DB2">
              <w:rPr>
                <w:rFonts w:cs="Calibri"/>
                <w:color w:val="000000"/>
                <w:sz w:val="24"/>
                <w:szCs w:val="24"/>
              </w:rPr>
              <w:br/>
              <w:t xml:space="preserve">% </w:t>
            </w:r>
            <w:proofErr w:type="spellStart"/>
            <w:r w:rsidRPr="00C85DB2">
              <w:rPr>
                <w:rFonts w:cs="Calibri"/>
                <w:color w:val="000000"/>
                <w:sz w:val="24"/>
                <w:szCs w:val="24"/>
              </w:rPr>
              <w:t>Quaterly</w:t>
            </w:r>
            <w:proofErr w:type="spellEnd"/>
            <w:r w:rsidRPr="00C85DB2">
              <w:rPr>
                <w:rFonts w:cs="Calibri"/>
                <w:color w:val="000000"/>
                <w:sz w:val="24"/>
                <w:szCs w:val="24"/>
              </w:rPr>
              <w:t xml:space="preserve"> Average availability          Penalty     </w:t>
            </w:r>
            <w:r w:rsidRPr="00C85DB2">
              <w:rPr>
                <w:rFonts w:cs="Calibri"/>
                <w:color w:val="000000"/>
                <w:sz w:val="24"/>
                <w:szCs w:val="24"/>
              </w:rPr>
              <w:br/>
              <w:t>≥ 99.9 % :-           No Penalty;</w:t>
            </w:r>
            <w:r w:rsidRPr="00C85DB2">
              <w:rPr>
                <w:rFonts w:cs="Calibri"/>
                <w:color w:val="000000"/>
                <w:sz w:val="24"/>
                <w:szCs w:val="24"/>
              </w:rPr>
              <w:br/>
              <w:t>&lt;99.9%  &amp;  ≥  99.7%  :- Extension of maintenance services for 7 days at no additional cost to Employer;</w:t>
            </w:r>
            <w:r w:rsidRPr="00C85DB2">
              <w:rPr>
                <w:rFonts w:cs="Calibri"/>
                <w:color w:val="000000"/>
                <w:sz w:val="24"/>
                <w:szCs w:val="24"/>
              </w:rPr>
              <w:br/>
            </w:r>
            <w:r w:rsidRPr="00C85DB2">
              <w:rPr>
                <w:rFonts w:cs="Calibri"/>
                <w:color w:val="000000"/>
                <w:sz w:val="24"/>
                <w:szCs w:val="24"/>
              </w:rPr>
              <w:lastRenderedPageBreak/>
              <w:t>&lt;99.7%  &amp;  ≥  99.5%  :- Extension of maintenance services for 14 days at no additional cost to Employer ;</w:t>
            </w:r>
            <w:r w:rsidRPr="00C85DB2">
              <w:rPr>
                <w:rFonts w:cs="Calibri"/>
                <w:color w:val="000000"/>
                <w:sz w:val="24"/>
                <w:szCs w:val="24"/>
              </w:rPr>
              <w:br/>
              <w:t>&lt;99.5%  &amp;  ≥  99.3%  :- Extension of maintenance services for 21 days at no additional cost to Employer;</w:t>
            </w:r>
            <w:r w:rsidRPr="00C85DB2">
              <w:rPr>
                <w:rFonts w:cs="Calibri"/>
                <w:color w:val="000000"/>
                <w:sz w:val="24"/>
                <w:szCs w:val="24"/>
              </w:rPr>
              <w:br/>
              <w:t>&lt;99.3%  &amp;  ≥  99.1%  :- Extension of maintenance services for 30 days at no additional cost to Employer;</w:t>
            </w:r>
            <w:r w:rsidRPr="00C85DB2">
              <w:rPr>
                <w:rFonts w:cs="Calibri"/>
                <w:color w:val="000000"/>
                <w:sz w:val="24"/>
                <w:szCs w:val="24"/>
              </w:rPr>
              <w:br/>
              <w:t>&lt; 99.1 %  :- Extension of maintenance services for one quarter at no additional cost to Employer</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lastRenderedPageBreak/>
              <w:t>6.4.8.1 Penalty for System Availability SLA for Backend Location:</w:t>
            </w:r>
            <w:r w:rsidRPr="00C85DB2">
              <w:rPr>
                <w:rFonts w:cs="Calibri"/>
                <w:color w:val="000000"/>
                <w:sz w:val="24"/>
                <w:szCs w:val="24"/>
              </w:rPr>
              <w:br/>
            </w:r>
            <w:r w:rsidRPr="00C85DB2">
              <w:rPr>
                <w:rFonts w:cs="Calibri"/>
                <w:color w:val="000000"/>
                <w:sz w:val="24"/>
                <w:szCs w:val="24"/>
              </w:rPr>
              <w:br/>
              <w:t xml:space="preserve">% </w:t>
            </w:r>
            <w:proofErr w:type="spellStart"/>
            <w:r w:rsidRPr="00C85DB2">
              <w:rPr>
                <w:rFonts w:cs="Calibri"/>
                <w:color w:val="000000"/>
                <w:sz w:val="24"/>
                <w:szCs w:val="24"/>
              </w:rPr>
              <w:t>Quaterly</w:t>
            </w:r>
            <w:proofErr w:type="spellEnd"/>
            <w:r w:rsidRPr="00C85DB2">
              <w:rPr>
                <w:rFonts w:cs="Calibri"/>
                <w:color w:val="000000"/>
                <w:sz w:val="24"/>
                <w:szCs w:val="24"/>
              </w:rPr>
              <w:t xml:space="preserve"> Average availability          Penalty     </w:t>
            </w:r>
            <w:r w:rsidRPr="00C85DB2">
              <w:rPr>
                <w:rFonts w:cs="Calibri"/>
                <w:color w:val="000000"/>
                <w:sz w:val="24"/>
                <w:szCs w:val="24"/>
              </w:rPr>
              <w:br/>
              <w:t>≥ 99.0 % :-           No Penalty;</w:t>
            </w:r>
            <w:r w:rsidRPr="00C85DB2">
              <w:rPr>
                <w:rFonts w:cs="Calibri"/>
                <w:color w:val="000000"/>
                <w:sz w:val="24"/>
                <w:szCs w:val="24"/>
              </w:rPr>
              <w:br/>
              <w:t xml:space="preserve">&lt;99.0%  &amp;  ≥  98.7%  :- Extension of maintenance services for </w:t>
            </w:r>
            <w:r w:rsidRPr="00C85DB2">
              <w:rPr>
                <w:rFonts w:cs="Calibri"/>
                <w:color w:val="000000"/>
                <w:sz w:val="24"/>
                <w:szCs w:val="24"/>
              </w:rPr>
              <w:lastRenderedPageBreak/>
              <w:t>both Front End &amp; Back-end locations for 7 days at no additional cost to Employer;</w:t>
            </w:r>
            <w:r w:rsidRPr="00C85DB2">
              <w:rPr>
                <w:rFonts w:cs="Calibri"/>
                <w:color w:val="000000"/>
                <w:sz w:val="24"/>
                <w:szCs w:val="24"/>
              </w:rPr>
              <w:br/>
              <w:t>&lt;98.7%  &amp;  ≥  99.5%  :- Extension of maintenance services for both Front End &amp; Back-end locations for 14 days at no additional cost to Employer ;</w:t>
            </w:r>
            <w:r w:rsidRPr="00C85DB2">
              <w:rPr>
                <w:rFonts w:cs="Calibri"/>
                <w:color w:val="000000"/>
                <w:sz w:val="24"/>
                <w:szCs w:val="24"/>
              </w:rPr>
              <w:br/>
              <w:t>&lt;98.5%  &amp;  ≥  98.3%  :- Extension of maintenance services for both Front End &amp; Back-end locations for 21 days at no additional cost to Employer;</w:t>
            </w:r>
            <w:r w:rsidRPr="00C85DB2">
              <w:rPr>
                <w:rFonts w:cs="Calibri"/>
                <w:color w:val="000000"/>
                <w:sz w:val="24"/>
                <w:szCs w:val="24"/>
              </w:rPr>
              <w:br/>
              <w:t>&lt;98.3%  &amp;  ≥  98.1%  :- Extension of maintenance services for both Front End &amp; Back-end locations for 30 days at no additional cost to Employer;</w:t>
            </w:r>
            <w:r w:rsidRPr="00C85DB2">
              <w:rPr>
                <w:rFonts w:cs="Calibri"/>
                <w:color w:val="000000"/>
                <w:sz w:val="24"/>
                <w:szCs w:val="24"/>
              </w:rPr>
              <w:br/>
              <w:t>&lt; 98.1 %  :- Extension of maintenance services for both Front End &amp; Back-end locations for one quarter at no additional cost to Employer</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lastRenderedPageBreak/>
              <w:t>4</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Vol-II, Section-6, New Clause as 6.4.8.2</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New Clause</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6.4.8.2 Penalty for System Availability SLA for Front End Location:</w:t>
            </w:r>
            <w:r w:rsidRPr="00C85DB2">
              <w:rPr>
                <w:rFonts w:cs="Calibri"/>
                <w:color w:val="000000"/>
                <w:sz w:val="24"/>
                <w:szCs w:val="24"/>
              </w:rPr>
              <w:br w:type="page"/>
            </w:r>
            <w:r w:rsidRPr="00C85DB2">
              <w:rPr>
                <w:rFonts w:cs="Calibri"/>
                <w:color w:val="000000"/>
                <w:sz w:val="24"/>
                <w:szCs w:val="24"/>
              </w:rPr>
              <w:br w:type="page"/>
              <w:t>Any delay beyond the stipulated parameters as mentioned in clause 6.4.7 shall attract a penalty of Rs. 100/- @ per hour for first 4 hours and Rs. 500/- @ per hour from the 5th hour, subject to maximum of Rs. 1,00,000/- per incident.</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t>5</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Vol-II, Section-4 LIMS-ILD; Table- 4.5</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SIEM Hardware Site Acceptance Testing</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LIMS-ILD Hardware Site Acceptance Testing</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lastRenderedPageBreak/>
              <w:t>6</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 xml:space="preserve">TEC-GR </w:t>
            </w:r>
            <w:proofErr w:type="gramStart"/>
            <w:r w:rsidRPr="00C85DB2">
              <w:rPr>
                <w:rFonts w:cs="Calibri"/>
                <w:color w:val="000000"/>
                <w:sz w:val="24"/>
                <w:szCs w:val="24"/>
              </w:rPr>
              <w:t>Clause:-</w:t>
            </w:r>
            <w:proofErr w:type="gramEnd"/>
            <w:r w:rsidRPr="00C85DB2">
              <w:rPr>
                <w:rFonts w:cs="Calibri"/>
                <w:color w:val="000000"/>
                <w:sz w:val="24"/>
                <w:szCs w:val="24"/>
              </w:rPr>
              <w:t xml:space="preserve"> 3.1.20.6</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 xml:space="preserve">"Servers shall use </w:t>
            </w:r>
            <w:proofErr w:type="gramStart"/>
            <w:r w:rsidRPr="00C85DB2">
              <w:rPr>
                <w:rFonts w:cs="Calibri"/>
                <w:color w:val="000000"/>
                <w:sz w:val="24"/>
                <w:szCs w:val="24"/>
              </w:rPr>
              <w:t>64 bit</w:t>
            </w:r>
            <w:proofErr w:type="gramEnd"/>
            <w:r w:rsidRPr="00C85DB2">
              <w:rPr>
                <w:rFonts w:cs="Calibri"/>
                <w:color w:val="000000"/>
                <w:sz w:val="24"/>
                <w:szCs w:val="24"/>
              </w:rPr>
              <w:t xml:space="preserve"> RISC CPUs of the latest processor in the family and 1.2 GHz or higher clock speed available from the bidder at the time of submission of bid".</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 xml:space="preserve">Servers shall use </w:t>
            </w:r>
            <w:proofErr w:type="gramStart"/>
            <w:r w:rsidRPr="00C85DB2">
              <w:rPr>
                <w:rFonts w:cs="Calibri"/>
                <w:color w:val="000000"/>
                <w:sz w:val="24"/>
                <w:szCs w:val="24"/>
              </w:rPr>
              <w:t>64 bit</w:t>
            </w:r>
            <w:proofErr w:type="gramEnd"/>
            <w:r w:rsidRPr="00C85DB2">
              <w:rPr>
                <w:rFonts w:cs="Calibri"/>
                <w:color w:val="000000"/>
                <w:sz w:val="24"/>
                <w:szCs w:val="24"/>
              </w:rPr>
              <w:t xml:space="preserve"> RISC/CISC CPUs of latest processor in the family and 1.2 GHz or higher clock speed available from the bidder at the time of submission of bid</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t>7</w:t>
            </w:r>
          </w:p>
        </w:tc>
        <w:tc>
          <w:tcPr>
            <w:tcW w:w="1319" w:type="dxa"/>
            <w:vAlign w:val="bottom"/>
          </w:tcPr>
          <w:p w:rsidR="00C85DB2" w:rsidRPr="00C85DB2" w:rsidRDefault="00C85DB2" w:rsidP="00C85DB2">
            <w:pPr>
              <w:rPr>
                <w:rFonts w:cs="Calibri"/>
                <w:color w:val="000000"/>
                <w:sz w:val="24"/>
                <w:szCs w:val="24"/>
              </w:rPr>
            </w:pP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2.5.6 Health Management System:</w:t>
            </w:r>
            <w:r w:rsidRPr="00C85DB2">
              <w:rPr>
                <w:rFonts w:cs="Calibri"/>
                <w:color w:val="000000"/>
                <w:sz w:val="24"/>
                <w:szCs w:val="24"/>
              </w:rPr>
              <w:br/>
              <w:t>The health monitoring system should be able to monitors the below infrastructure for the status and health.</w:t>
            </w:r>
            <w:r w:rsidRPr="00C85DB2">
              <w:rPr>
                <w:rFonts w:cs="Calibri"/>
                <w:color w:val="000000"/>
                <w:sz w:val="24"/>
                <w:szCs w:val="24"/>
              </w:rPr>
              <w:br/>
              <w:t>• The network,</w:t>
            </w:r>
            <w:r w:rsidRPr="00C85DB2">
              <w:rPr>
                <w:rFonts w:cs="Calibri"/>
                <w:color w:val="000000"/>
                <w:sz w:val="24"/>
                <w:szCs w:val="24"/>
              </w:rPr>
              <w:br/>
              <w:t>• CPU, processes,</w:t>
            </w:r>
            <w:r w:rsidRPr="00C85DB2">
              <w:rPr>
                <w:rFonts w:cs="Calibri"/>
                <w:color w:val="000000"/>
                <w:sz w:val="24"/>
                <w:szCs w:val="24"/>
              </w:rPr>
              <w:br/>
              <w:t>• Memory and</w:t>
            </w:r>
            <w:r w:rsidRPr="00C85DB2">
              <w:rPr>
                <w:rFonts w:cs="Calibri"/>
                <w:color w:val="000000"/>
                <w:sz w:val="24"/>
                <w:szCs w:val="24"/>
              </w:rPr>
              <w:br/>
              <w:t>• Disk usage.</w:t>
            </w:r>
            <w:r w:rsidRPr="00C85DB2">
              <w:rPr>
                <w:rFonts w:cs="Calibri"/>
                <w:color w:val="000000"/>
                <w:sz w:val="24"/>
                <w:szCs w:val="24"/>
              </w:rPr>
              <w:br/>
              <w:t>This enables the administrator to monitor the performance of the infrastructure.</w:t>
            </w:r>
            <w:r w:rsidRPr="00C85DB2">
              <w:rPr>
                <w:rFonts w:cs="Calibri"/>
                <w:color w:val="000000"/>
                <w:sz w:val="24"/>
                <w:szCs w:val="24"/>
              </w:rPr>
              <w:br/>
              <w:t>At its highest level, the system comprises these major areas:</w:t>
            </w:r>
            <w:r w:rsidRPr="00C85DB2">
              <w:rPr>
                <w:rFonts w:cs="Calibri"/>
                <w:color w:val="000000"/>
                <w:sz w:val="24"/>
                <w:szCs w:val="24"/>
              </w:rPr>
              <w:br/>
              <w:t>• Discovery and configuration</w:t>
            </w:r>
            <w:r w:rsidRPr="00C85DB2">
              <w:rPr>
                <w:rFonts w:cs="Calibri"/>
                <w:color w:val="000000"/>
                <w:sz w:val="24"/>
                <w:szCs w:val="24"/>
              </w:rPr>
              <w:br/>
              <w:t>• Performance and availability</w:t>
            </w:r>
            <w:r w:rsidRPr="00C85DB2">
              <w:rPr>
                <w:rFonts w:cs="Calibri"/>
                <w:color w:val="000000"/>
                <w:sz w:val="24"/>
                <w:szCs w:val="24"/>
              </w:rPr>
              <w:br/>
              <w:t>• Fault and event management</w:t>
            </w:r>
            <w:r w:rsidRPr="00C85DB2">
              <w:rPr>
                <w:rFonts w:cs="Calibri"/>
                <w:color w:val="000000"/>
                <w:sz w:val="24"/>
                <w:szCs w:val="24"/>
              </w:rPr>
              <w:br/>
              <w:t>• Alerting and remediation</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2.5.6 Health Management System:</w:t>
            </w:r>
            <w:r w:rsidRPr="00C85DB2">
              <w:rPr>
                <w:rFonts w:cs="Calibri"/>
                <w:color w:val="000000"/>
                <w:sz w:val="24"/>
                <w:szCs w:val="24"/>
              </w:rPr>
              <w:br/>
              <w:t>The health monitoring system should be able to monitors the below infrastructure for the status and health.</w:t>
            </w:r>
            <w:r w:rsidRPr="00C85DB2">
              <w:rPr>
                <w:rFonts w:cs="Calibri"/>
                <w:color w:val="000000"/>
                <w:sz w:val="24"/>
                <w:szCs w:val="24"/>
              </w:rPr>
              <w:br/>
              <w:t>• The network,</w:t>
            </w:r>
            <w:r w:rsidRPr="00C85DB2">
              <w:rPr>
                <w:rFonts w:cs="Calibri"/>
                <w:color w:val="000000"/>
                <w:sz w:val="24"/>
                <w:szCs w:val="24"/>
              </w:rPr>
              <w:br/>
              <w:t>• CPU, processes,</w:t>
            </w:r>
            <w:r w:rsidRPr="00C85DB2">
              <w:rPr>
                <w:rFonts w:cs="Calibri"/>
                <w:color w:val="000000"/>
                <w:sz w:val="24"/>
                <w:szCs w:val="24"/>
              </w:rPr>
              <w:br/>
              <w:t>• Application &amp; database,</w:t>
            </w:r>
            <w:r w:rsidRPr="00C85DB2">
              <w:rPr>
                <w:rFonts w:cs="Calibri"/>
                <w:color w:val="000000"/>
                <w:sz w:val="24"/>
                <w:szCs w:val="24"/>
              </w:rPr>
              <w:br/>
              <w:t>• Memory and</w:t>
            </w:r>
            <w:r w:rsidRPr="00C85DB2">
              <w:rPr>
                <w:rFonts w:cs="Calibri"/>
                <w:color w:val="000000"/>
                <w:sz w:val="24"/>
                <w:szCs w:val="24"/>
              </w:rPr>
              <w:br/>
              <w:t>• Disk usage.</w:t>
            </w:r>
            <w:r w:rsidRPr="00C85DB2">
              <w:rPr>
                <w:rFonts w:cs="Calibri"/>
                <w:color w:val="000000"/>
                <w:sz w:val="24"/>
                <w:szCs w:val="24"/>
              </w:rPr>
              <w:br/>
              <w:t>This enables the administrator to monitor the performance of the infrastructure.</w:t>
            </w:r>
            <w:r w:rsidRPr="00C85DB2">
              <w:rPr>
                <w:rFonts w:cs="Calibri"/>
                <w:color w:val="000000"/>
                <w:sz w:val="24"/>
                <w:szCs w:val="24"/>
              </w:rPr>
              <w:br/>
              <w:t>At its highest level, the system comprises these major areas:</w:t>
            </w:r>
            <w:r w:rsidRPr="00C85DB2">
              <w:rPr>
                <w:rFonts w:cs="Calibri"/>
                <w:color w:val="000000"/>
                <w:sz w:val="24"/>
                <w:szCs w:val="24"/>
              </w:rPr>
              <w:br/>
              <w:t>• Discovery and configuration</w:t>
            </w:r>
            <w:r w:rsidRPr="00C85DB2">
              <w:rPr>
                <w:rFonts w:cs="Calibri"/>
                <w:color w:val="000000"/>
                <w:sz w:val="24"/>
                <w:szCs w:val="24"/>
              </w:rPr>
              <w:br/>
              <w:t>• Performance and availability</w:t>
            </w:r>
            <w:r w:rsidRPr="00C85DB2">
              <w:rPr>
                <w:rFonts w:cs="Calibri"/>
                <w:color w:val="000000"/>
                <w:sz w:val="24"/>
                <w:szCs w:val="24"/>
              </w:rPr>
              <w:br/>
              <w:t>• Fault and event management</w:t>
            </w:r>
            <w:r w:rsidRPr="00C85DB2">
              <w:rPr>
                <w:rFonts w:cs="Calibri"/>
                <w:color w:val="000000"/>
                <w:sz w:val="24"/>
                <w:szCs w:val="24"/>
              </w:rPr>
              <w:br/>
              <w:t>• Alerting and remediation</w:t>
            </w:r>
          </w:p>
        </w:tc>
      </w:tr>
      <w:tr w:rsidR="00C85DB2" w:rsidTr="00D723A5">
        <w:trPr>
          <w:trHeight w:val="1070"/>
        </w:trPr>
        <w:tc>
          <w:tcPr>
            <w:tcW w:w="811" w:type="dxa"/>
          </w:tcPr>
          <w:p w:rsidR="00C85DB2" w:rsidRDefault="00C85DB2" w:rsidP="00C85DB2">
            <w:pPr>
              <w:pStyle w:val="TableParagraph"/>
              <w:spacing w:before="2"/>
              <w:ind w:left="107"/>
              <w:jc w:val="both"/>
              <w:rPr>
                <w:b/>
                <w:sz w:val="24"/>
              </w:rPr>
            </w:pPr>
            <w:r>
              <w:rPr>
                <w:b/>
                <w:sz w:val="24"/>
              </w:rPr>
              <w:t>8</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Vol-II, Section-1, New Clause as 1.6.2 (bb)</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New Clause</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 xml:space="preserve">The contractor has to supply ‘Trusted Products’ from ‘Trusted Sources’ in line with the ‘National Security Directive on Telecommunication Sector (NSDTS)’ under subject package. Trusted Products are products whose critical components and the products themselves are sourced from Trusted Sources. The National Cyber Security Coordinator (NCSC) is the Designated Authority (DA) for the determination of inclusion of a vendor as a Trusted Source, of a Telecom product as a Trusted Product and the </w:t>
            </w:r>
            <w:r w:rsidRPr="00C85DB2">
              <w:rPr>
                <w:rFonts w:cs="Calibri"/>
                <w:color w:val="000000"/>
                <w:sz w:val="24"/>
                <w:szCs w:val="24"/>
              </w:rPr>
              <w:lastRenderedPageBreak/>
              <w:t xml:space="preserve">methodology for the said inclusion. Bidders are advised to do their due diligence while selecting an OEM and offering the model/ type equipment. </w:t>
            </w:r>
          </w:p>
        </w:tc>
      </w:tr>
      <w:tr w:rsidR="00C85DB2" w:rsidTr="000800E5">
        <w:trPr>
          <w:trHeight w:val="1969"/>
        </w:trPr>
        <w:tc>
          <w:tcPr>
            <w:tcW w:w="811" w:type="dxa"/>
          </w:tcPr>
          <w:p w:rsidR="00C85DB2" w:rsidRDefault="00C85DB2" w:rsidP="00C85DB2">
            <w:pPr>
              <w:pStyle w:val="TableParagraph"/>
              <w:spacing w:before="2"/>
              <w:ind w:left="107"/>
              <w:jc w:val="both"/>
              <w:rPr>
                <w:b/>
                <w:sz w:val="24"/>
              </w:rPr>
            </w:pPr>
            <w:r>
              <w:rPr>
                <w:b/>
                <w:sz w:val="24"/>
              </w:rPr>
              <w:lastRenderedPageBreak/>
              <w:t>9</w:t>
            </w:r>
          </w:p>
        </w:tc>
        <w:tc>
          <w:tcPr>
            <w:tcW w:w="1319"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Vol-II, Section-1, New Clause as 1.7 (c)</w:t>
            </w:r>
          </w:p>
        </w:tc>
        <w:tc>
          <w:tcPr>
            <w:tcW w:w="585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New Clause</w:t>
            </w:r>
          </w:p>
        </w:tc>
        <w:tc>
          <w:tcPr>
            <w:tcW w:w="6570" w:type="dxa"/>
            <w:vAlign w:val="center"/>
          </w:tcPr>
          <w:p w:rsidR="00C85DB2" w:rsidRPr="00C85DB2" w:rsidRDefault="00C85DB2" w:rsidP="00C85DB2">
            <w:pPr>
              <w:rPr>
                <w:rFonts w:cs="Calibri"/>
                <w:color w:val="000000"/>
                <w:sz w:val="24"/>
                <w:szCs w:val="24"/>
              </w:rPr>
            </w:pPr>
            <w:r w:rsidRPr="00C85DB2">
              <w:rPr>
                <w:rFonts w:cs="Calibri"/>
                <w:color w:val="000000"/>
                <w:sz w:val="24"/>
                <w:szCs w:val="24"/>
              </w:rPr>
              <w:t xml:space="preserve">Bidder should offer uniform pricing of </w:t>
            </w:r>
            <w:proofErr w:type="spellStart"/>
            <w:r w:rsidRPr="00C85DB2">
              <w:rPr>
                <w:rFonts w:cs="Calibri"/>
                <w:color w:val="000000"/>
                <w:sz w:val="24"/>
                <w:szCs w:val="24"/>
              </w:rPr>
              <w:t>BoQ</w:t>
            </w:r>
            <w:proofErr w:type="spellEnd"/>
            <w:r w:rsidRPr="00C85DB2">
              <w:rPr>
                <w:rFonts w:cs="Calibri"/>
                <w:color w:val="000000"/>
                <w:sz w:val="24"/>
                <w:szCs w:val="24"/>
              </w:rPr>
              <w:t xml:space="preserve"> items for all locations in the bid. The prices should not change from location to location.  </w:t>
            </w:r>
          </w:p>
        </w:tc>
      </w:tr>
    </w:tbl>
    <w:p w:rsidR="00A04E3D" w:rsidRDefault="00A04E3D" w:rsidP="001E2FD2">
      <w:pPr>
        <w:spacing w:before="96"/>
        <w:jc w:val="both"/>
        <w:rPr>
          <w:b/>
          <w:sz w:val="24"/>
        </w:rPr>
      </w:pPr>
    </w:p>
    <w:p w:rsidR="005E72E6" w:rsidRDefault="005E72E6" w:rsidP="001E2FD2">
      <w:pPr>
        <w:spacing w:before="96"/>
        <w:jc w:val="both"/>
        <w:rPr>
          <w:b/>
          <w:sz w:val="24"/>
        </w:rPr>
      </w:pPr>
    </w:p>
    <w:sectPr w:rsidR="005E72E6" w:rsidSect="007D491B">
      <w:headerReference w:type="default" r:id="rId7"/>
      <w:footerReference w:type="default" r:id="rId8"/>
      <w:pgSz w:w="15840" w:h="12240" w:orient="landscape"/>
      <w:pgMar w:top="1710"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82F" w:rsidRDefault="00F0082F">
      <w:r>
        <w:separator/>
      </w:r>
    </w:p>
  </w:endnote>
  <w:endnote w:type="continuationSeparator" w:id="0">
    <w:p w:rsidR="00F0082F" w:rsidRDefault="00F0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D723A5">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306826">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7D491B">
                  <w:rPr>
                    <w:rFonts w:ascii="Times New Roman"/>
                    <w:b/>
                    <w:sz w:val="24"/>
                  </w:rPr>
                  <w:t>5</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82F" w:rsidRDefault="00F0082F">
      <w:r>
        <w:separator/>
      </w:r>
    </w:p>
  </w:footnote>
  <w:footnote w:type="continuationSeparator" w:id="0">
    <w:p w:rsidR="00F0082F" w:rsidRDefault="00F0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D723A5">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73.5pt;z-index:-252139520;mso-position-horizontal-relative:page;mso-position-vertical-relative:page" filled="f" stroked="f">
          <v:textbox style="mso-next-textbox:#_x0000_s2050" inset="0,0,0,0">
            <w:txbxContent>
              <w:p w:rsidR="008C1CA2" w:rsidRPr="008C1CA2" w:rsidRDefault="00306826" w:rsidP="008C1CA2">
                <w:pPr>
                  <w:pStyle w:val="BodyText"/>
                  <w:spacing w:before="11"/>
                  <w:ind w:left="20" w:right="18"/>
                  <w:jc w:val="both"/>
                  <w:rPr>
                    <w:rFonts w:eastAsia="MS Mincho"/>
                    <w:b/>
                    <w:bCs/>
                    <w:sz w:val="22"/>
                    <w:szCs w:val="22"/>
                    <w:lang w:val="en-IN"/>
                  </w:rPr>
                </w:pPr>
                <w:r>
                  <w:rPr>
                    <w:b/>
                  </w:rPr>
                  <w:t>Amendment</w:t>
                </w:r>
                <w:r w:rsidR="00372E3A">
                  <w:rPr>
                    <w:b/>
                    <w:i/>
                  </w:rPr>
                  <w:t>–</w:t>
                </w:r>
                <w:r w:rsidR="008C1CA2">
                  <w:rPr>
                    <w:b/>
                    <w:iCs/>
                  </w:rPr>
                  <w:t>I</w:t>
                </w:r>
                <w:r w:rsidR="00C85DB2">
                  <w:rPr>
                    <w:b/>
                    <w:iCs/>
                  </w:rPr>
                  <w:t>I</w:t>
                </w:r>
                <w:r w:rsidR="00372E3A">
                  <w:rPr>
                    <w:b/>
                  </w:rPr>
                  <w:t xml:space="preserve"> dated </w:t>
                </w:r>
                <w:r w:rsidR="00395183">
                  <w:rPr>
                    <w:b/>
                  </w:rPr>
                  <w:t>13</w:t>
                </w:r>
                <w:r w:rsidR="00C85DB2">
                  <w:rPr>
                    <w:b/>
                  </w:rPr>
                  <w:t>/08</w:t>
                </w:r>
                <w:r w:rsidR="00161BED">
                  <w:rPr>
                    <w:b/>
                  </w:rPr>
                  <w:t>/</w:t>
                </w:r>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bookmarkStart w:id="1" w:name="_Hlk75449847"/>
                <w:r w:rsidR="00161BED">
                  <w:rPr>
                    <w:b/>
                    <w:lang w:val="en-IN"/>
                  </w:rPr>
                  <w:t>Package LIMS-ILD under Establishment of Lawful Interception and Monitoring System (LIMS) for providing International Long Distance (ILD) connectivity</w:t>
                </w:r>
                <w:bookmarkEnd w:id="1"/>
              </w:p>
              <w:p w:rsidR="005E72E6" w:rsidRDefault="008C1CA2" w:rsidP="008C1CA2">
                <w:pPr>
                  <w:pStyle w:val="BodyText"/>
                  <w:pBdr>
                    <w:bottom w:val="single" w:sz="12" w:space="1" w:color="auto"/>
                  </w:pBdr>
                  <w:spacing w:before="11"/>
                  <w:ind w:left="20" w:right="18"/>
                  <w:jc w:val="both"/>
                  <w:rPr>
                    <w:b/>
                    <w:bCs/>
                  </w:rPr>
                </w:pPr>
                <w:r w:rsidRPr="008C1CA2">
                  <w:rPr>
                    <w:rFonts w:eastAsia="MS Mincho"/>
                    <w:b/>
                    <w:bCs/>
                    <w:sz w:val="22"/>
                    <w:szCs w:val="22"/>
                    <w:lang w:val="en-IN"/>
                  </w:rPr>
                  <w:t xml:space="preserve">Specification No.: </w:t>
                </w:r>
                <w:r w:rsidR="00161BED">
                  <w:rPr>
                    <w:b/>
                    <w:bCs/>
                  </w:rPr>
                  <w:t>CC-CS/1096-NR1/TELE-4255/3/G7</w:t>
                </w:r>
              </w:p>
              <w:p w:rsidR="007D491B" w:rsidRDefault="007D491B" w:rsidP="008C1CA2">
                <w:pPr>
                  <w:pStyle w:val="BodyText"/>
                  <w:spacing w:before="11"/>
                  <w:ind w:left="20" w:right="18"/>
                  <w:jc w:val="both"/>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516A5D"/>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2"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5"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6"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6C0B4130"/>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9"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20"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9"/>
  </w:num>
  <w:num w:numId="3">
    <w:abstractNumId w:val="7"/>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8"/>
  </w:num>
  <w:num w:numId="11">
    <w:abstractNumId w:val="14"/>
  </w:num>
  <w:num w:numId="12">
    <w:abstractNumId w:val="13"/>
  </w:num>
  <w:num w:numId="13">
    <w:abstractNumId w:val="3"/>
  </w:num>
  <w:num w:numId="14">
    <w:abstractNumId w:val="8"/>
  </w:num>
  <w:num w:numId="15">
    <w:abstractNumId w:val="12"/>
  </w:num>
  <w:num w:numId="16">
    <w:abstractNumId w:val="6"/>
  </w:num>
  <w:num w:numId="17">
    <w:abstractNumId w:val="4"/>
  </w:num>
  <w:num w:numId="18">
    <w:abstractNumId w:val="21"/>
  </w:num>
  <w:num w:numId="19">
    <w:abstractNumId w:val="20"/>
  </w:num>
  <w:num w:numId="20">
    <w:abstractNumId w:val="16"/>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E72E6"/>
    <w:rsid w:val="00020AF4"/>
    <w:rsid w:val="000210FB"/>
    <w:rsid w:val="00046AA9"/>
    <w:rsid w:val="00090127"/>
    <w:rsid w:val="000F22F4"/>
    <w:rsid w:val="000F699B"/>
    <w:rsid w:val="00122B84"/>
    <w:rsid w:val="001402ED"/>
    <w:rsid w:val="00140B39"/>
    <w:rsid w:val="001569A6"/>
    <w:rsid w:val="00161BED"/>
    <w:rsid w:val="00197DA1"/>
    <w:rsid w:val="001B3D90"/>
    <w:rsid w:val="001E2FD2"/>
    <w:rsid w:val="001F226C"/>
    <w:rsid w:val="002058FF"/>
    <w:rsid w:val="00215BE3"/>
    <w:rsid w:val="0023036F"/>
    <w:rsid w:val="00273DC6"/>
    <w:rsid w:val="00273FF0"/>
    <w:rsid w:val="002A2C25"/>
    <w:rsid w:val="002A620B"/>
    <w:rsid w:val="002D249C"/>
    <w:rsid w:val="002F7769"/>
    <w:rsid w:val="00306826"/>
    <w:rsid w:val="003152F3"/>
    <w:rsid w:val="00356ADC"/>
    <w:rsid w:val="003708C8"/>
    <w:rsid w:val="00371255"/>
    <w:rsid w:val="00372E3A"/>
    <w:rsid w:val="00395183"/>
    <w:rsid w:val="0039698A"/>
    <w:rsid w:val="003A3439"/>
    <w:rsid w:val="003C006C"/>
    <w:rsid w:val="003D4F96"/>
    <w:rsid w:val="0041057F"/>
    <w:rsid w:val="00422581"/>
    <w:rsid w:val="004A5E4D"/>
    <w:rsid w:val="004A7E00"/>
    <w:rsid w:val="0052108A"/>
    <w:rsid w:val="005735E0"/>
    <w:rsid w:val="005C743E"/>
    <w:rsid w:val="005E72E6"/>
    <w:rsid w:val="006101C4"/>
    <w:rsid w:val="006446B4"/>
    <w:rsid w:val="00670B60"/>
    <w:rsid w:val="006A1670"/>
    <w:rsid w:val="006A5395"/>
    <w:rsid w:val="00706CF9"/>
    <w:rsid w:val="0072481E"/>
    <w:rsid w:val="00742C13"/>
    <w:rsid w:val="00783C49"/>
    <w:rsid w:val="00784B38"/>
    <w:rsid w:val="00790EDE"/>
    <w:rsid w:val="007B3C8D"/>
    <w:rsid w:val="007D491B"/>
    <w:rsid w:val="007E1107"/>
    <w:rsid w:val="0085632F"/>
    <w:rsid w:val="008C1CA2"/>
    <w:rsid w:val="008C6A2C"/>
    <w:rsid w:val="008F491B"/>
    <w:rsid w:val="008F7341"/>
    <w:rsid w:val="008F783B"/>
    <w:rsid w:val="009443E5"/>
    <w:rsid w:val="00947606"/>
    <w:rsid w:val="00990D65"/>
    <w:rsid w:val="009B03E8"/>
    <w:rsid w:val="009B27DD"/>
    <w:rsid w:val="009B7817"/>
    <w:rsid w:val="00A04E3D"/>
    <w:rsid w:val="00A05A49"/>
    <w:rsid w:val="00A077D4"/>
    <w:rsid w:val="00A14B5D"/>
    <w:rsid w:val="00A16F90"/>
    <w:rsid w:val="00A30184"/>
    <w:rsid w:val="00A5360D"/>
    <w:rsid w:val="00A626AA"/>
    <w:rsid w:val="00AD1DF9"/>
    <w:rsid w:val="00B02901"/>
    <w:rsid w:val="00B52B99"/>
    <w:rsid w:val="00B569F0"/>
    <w:rsid w:val="00B624A5"/>
    <w:rsid w:val="00B674CF"/>
    <w:rsid w:val="00B90C1E"/>
    <w:rsid w:val="00C401E2"/>
    <w:rsid w:val="00C42770"/>
    <w:rsid w:val="00C47F82"/>
    <w:rsid w:val="00C52FAB"/>
    <w:rsid w:val="00C532AC"/>
    <w:rsid w:val="00C64656"/>
    <w:rsid w:val="00C77716"/>
    <w:rsid w:val="00C85DB2"/>
    <w:rsid w:val="00C87EBB"/>
    <w:rsid w:val="00CA53B4"/>
    <w:rsid w:val="00D11497"/>
    <w:rsid w:val="00D723A5"/>
    <w:rsid w:val="00D73CF0"/>
    <w:rsid w:val="00D758D9"/>
    <w:rsid w:val="00DF043E"/>
    <w:rsid w:val="00E0224F"/>
    <w:rsid w:val="00E968E9"/>
    <w:rsid w:val="00EF2857"/>
    <w:rsid w:val="00F0082F"/>
    <w:rsid w:val="00F2592C"/>
    <w:rsid w:val="00F36A24"/>
    <w:rsid w:val="00F54DE0"/>
    <w:rsid w:val="00F719CA"/>
    <w:rsid w:val="00FC0E2C"/>
    <w:rsid w:val="00FD0A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1F338F2"/>
  <w15:docId w15:val="{36BD2FCD-4FCA-4171-9663-46344736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qForma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692644">
      <w:bodyDiv w:val="1"/>
      <w:marLeft w:val="0"/>
      <w:marRight w:val="0"/>
      <w:marTop w:val="0"/>
      <w:marBottom w:val="0"/>
      <w:divBdr>
        <w:top w:val="none" w:sz="0" w:space="0" w:color="auto"/>
        <w:left w:val="none" w:sz="0" w:space="0" w:color="auto"/>
        <w:bottom w:val="none" w:sz="0" w:space="0" w:color="auto"/>
        <w:right w:val="none" w:sz="0" w:space="0" w:color="auto"/>
      </w:divBdr>
    </w:div>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739090895">
      <w:bodyDiv w:val="1"/>
      <w:marLeft w:val="0"/>
      <w:marRight w:val="0"/>
      <w:marTop w:val="0"/>
      <w:marBottom w:val="0"/>
      <w:divBdr>
        <w:top w:val="none" w:sz="0" w:space="0" w:color="auto"/>
        <w:left w:val="none" w:sz="0" w:space="0" w:color="auto"/>
        <w:bottom w:val="none" w:sz="0" w:space="0" w:color="auto"/>
        <w:right w:val="none" w:sz="0" w:space="0" w:color="auto"/>
      </w:divBdr>
    </w:div>
    <w:div w:id="1910310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CS -1</cp:lastModifiedBy>
  <cp:revision>109</cp:revision>
  <cp:lastPrinted>2021-04-30T08:14:00Z</cp:lastPrinted>
  <dcterms:created xsi:type="dcterms:W3CDTF">2020-04-10T04:42:00Z</dcterms:created>
  <dcterms:modified xsi:type="dcterms:W3CDTF">2021-08-13T09:21:00Z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